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023" w:rsidRPr="00B63A58" w:rsidRDefault="00315023" w:rsidP="00B63A58">
      <w:pPr>
        <w:widowControl/>
        <w:autoSpaceDE/>
        <w:autoSpaceDN/>
        <w:spacing w:before="222" w:after="160" w:line="259" w:lineRule="auto"/>
        <w:rPr>
          <w:rFonts w:asciiTheme="majorHAnsi" w:eastAsiaTheme="majorEastAsia" w:hAnsiTheme="majorHAnsi" w:cstheme="majorBidi"/>
          <w:color w:val="2E74B5" w:themeColor="accent1" w:themeShade="BF"/>
          <w:w w:val="105"/>
          <w:sz w:val="32"/>
          <w:szCs w:val="32"/>
          <w:lang w:bidi="ar-SA"/>
        </w:rPr>
      </w:pPr>
      <w:r w:rsidRPr="00B63A58">
        <w:rPr>
          <w:rFonts w:asciiTheme="majorHAnsi" w:eastAsiaTheme="majorEastAsia" w:hAnsiTheme="majorHAnsi" w:cstheme="majorBidi"/>
          <w:color w:val="2E74B5" w:themeColor="accent1" w:themeShade="BF"/>
          <w:w w:val="105"/>
          <w:sz w:val="32"/>
          <w:szCs w:val="32"/>
          <w:lang w:bidi="ar-SA"/>
        </w:rPr>
        <w:t xml:space="preserve">Handout </w:t>
      </w:r>
      <w:r w:rsidR="00B63A58">
        <w:rPr>
          <w:rFonts w:asciiTheme="majorHAnsi" w:eastAsiaTheme="majorEastAsia" w:hAnsiTheme="majorHAnsi" w:cstheme="majorBidi"/>
          <w:color w:val="2E74B5" w:themeColor="accent1" w:themeShade="BF"/>
          <w:w w:val="105"/>
          <w:sz w:val="32"/>
          <w:szCs w:val="32"/>
          <w:lang w:bidi="ar-SA"/>
        </w:rPr>
        <w:t>2</w:t>
      </w:r>
    </w:p>
    <w:p w:rsidR="00315023" w:rsidRPr="00B63A58" w:rsidRDefault="00315023" w:rsidP="00B63A58">
      <w:pPr>
        <w:spacing w:before="130"/>
        <w:rPr>
          <w:rFonts w:asciiTheme="minorHAnsi" w:hAnsiTheme="minorHAnsi" w:cstheme="minorHAnsi"/>
          <w:b/>
          <w:w w:val="105"/>
          <w:sz w:val="40"/>
          <w:szCs w:val="40"/>
        </w:rPr>
      </w:pPr>
      <w:r w:rsidRPr="00B63A58">
        <w:rPr>
          <w:rFonts w:asciiTheme="minorHAnsi" w:hAnsiTheme="minorHAnsi" w:cstheme="minorHAnsi"/>
          <w:b/>
          <w:w w:val="105"/>
          <w:sz w:val="40"/>
          <w:szCs w:val="40"/>
        </w:rPr>
        <w:t>Gender Equality Fact Sheet</w:t>
      </w:r>
      <w:r w:rsidR="00B63A58">
        <w:rPr>
          <w:rStyle w:val="FootnoteReference"/>
          <w:rFonts w:asciiTheme="minorHAnsi" w:hAnsiTheme="minorHAnsi" w:cstheme="minorHAnsi"/>
          <w:b/>
          <w:w w:val="105"/>
          <w:sz w:val="40"/>
          <w:szCs w:val="40"/>
        </w:rPr>
        <w:footnoteReference w:id="1"/>
      </w:r>
    </w:p>
    <w:p w:rsidR="00B63A58" w:rsidRDefault="00B63A58" w:rsidP="00B63A58">
      <w:pPr>
        <w:pStyle w:val="BodyText"/>
        <w:spacing w:before="1" w:line="271" w:lineRule="auto"/>
        <w:ind w:right="578"/>
        <w:rPr>
          <w:rFonts w:asciiTheme="minorHAnsi" w:hAnsiTheme="minorHAnsi" w:cstheme="minorHAnsi"/>
          <w:sz w:val="24"/>
          <w:szCs w:val="24"/>
        </w:rPr>
      </w:pPr>
    </w:p>
    <w:p w:rsidR="00315023" w:rsidRPr="00B63A58" w:rsidRDefault="00315023" w:rsidP="00B63A58">
      <w:pPr>
        <w:pStyle w:val="BodyText"/>
        <w:spacing w:before="1" w:line="271" w:lineRule="auto"/>
        <w:ind w:right="578"/>
        <w:rPr>
          <w:rFonts w:asciiTheme="minorHAnsi" w:hAnsiTheme="minorHAnsi" w:cstheme="minorHAnsi"/>
          <w:b/>
          <w:sz w:val="24"/>
          <w:szCs w:val="24"/>
        </w:rPr>
      </w:pPr>
      <w:r w:rsidRPr="00B63A58">
        <w:rPr>
          <w:rFonts w:asciiTheme="minorHAnsi" w:hAnsiTheme="minorHAnsi" w:cstheme="minorHAnsi"/>
          <w:b/>
          <w:sz w:val="24"/>
          <w:szCs w:val="24"/>
        </w:rPr>
        <w:t>Education</w:t>
      </w:r>
    </w:p>
    <w:p w:rsidR="00315023" w:rsidRDefault="00315023" w:rsidP="00315023">
      <w:pPr>
        <w:pStyle w:val="BodyText"/>
        <w:spacing w:before="2"/>
        <w:rPr>
          <w:b/>
          <w:sz w:val="25"/>
        </w:rPr>
      </w:pPr>
    </w:p>
    <w:p w:rsidR="00315023" w:rsidRPr="00B63A58" w:rsidRDefault="00315023" w:rsidP="00B63A58">
      <w:pPr>
        <w:pStyle w:val="BodyText"/>
        <w:tabs>
          <w:tab w:val="left" w:pos="9360"/>
        </w:tabs>
        <w:spacing w:before="1" w:line="271" w:lineRule="auto"/>
        <w:ind w:right="46"/>
        <w:jc w:val="both"/>
        <w:rPr>
          <w:rFonts w:asciiTheme="minorHAnsi" w:hAnsiTheme="minorHAnsi" w:cstheme="minorHAnsi"/>
          <w:sz w:val="24"/>
          <w:szCs w:val="24"/>
        </w:rPr>
      </w:pPr>
      <w:r w:rsidRPr="00B63A58">
        <w:rPr>
          <w:rFonts w:asciiTheme="minorHAnsi" w:hAnsiTheme="minorHAnsi" w:cstheme="minorHAnsi"/>
          <w:sz w:val="24"/>
          <w:szCs w:val="24"/>
        </w:rPr>
        <w:t xml:space="preserve">All children have the right to quality education, without any form of discrimination. However, in </w:t>
      </w:r>
      <w:proofErr w:type="gramStart"/>
      <w:r w:rsidRPr="00B63A58">
        <w:rPr>
          <w:rFonts w:asciiTheme="minorHAnsi" w:hAnsiTheme="minorHAnsi" w:cstheme="minorHAnsi"/>
          <w:sz w:val="24"/>
          <w:szCs w:val="24"/>
        </w:rPr>
        <w:t>reality</w:t>
      </w:r>
      <w:proofErr w:type="gramEnd"/>
      <w:r w:rsidRPr="00B63A58">
        <w:rPr>
          <w:rFonts w:asciiTheme="minorHAnsi" w:hAnsiTheme="minorHAnsi" w:cstheme="minorHAnsi"/>
          <w:sz w:val="24"/>
          <w:szCs w:val="24"/>
        </w:rPr>
        <w:t xml:space="preserve"> girls do not have equal access to education gender gaps in access to education have narrowed, but disparities remain among regions in all levels of education, particularly for the most excluded and marginalized. There has been major progress across all developing regions in primary school attendance. However, girls continue to face barriers to schooling, particularly in Northern Africa, sub-Saharan Africa and Western Asia. Although more girls are now in school in sub-Saharan Africa, only 93 girls </w:t>
      </w:r>
      <w:proofErr w:type="gramStart"/>
      <w:r w:rsidRPr="00B63A58">
        <w:rPr>
          <w:rFonts w:asciiTheme="minorHAnsi" w:hAnsiTheme="minorHAnsi" w:cstheme="minorHAnsi"/>
          <w:sz w:val="24"/>
          <w:szCs w:val="24"/>
        </w:rPr>
        <w:t>are enrolled</w:t>
      </w:r>
      <w:proofErr w:type="gramEnd"/>
      <w:r w:rsidRPr="00B63A58">
        <w:rPr>
          <w:rFonts w:asciiTheme="minorHAnsi" w:hAnsiTheme="minorHAnsi" w:cstheme="minorHAnsi"/>
          <w:sz w:val="24"/>
          <w:szCs w:val="24"/>
        </w:rPr>
        <w:t xml:space="preserve"> in primary school for every 100 boys.</w:t>
      </w:r>
    </w:p>
    <w:p w:rsidR="00315023" w:rsidRPr="00B63A58" w:rsidRDefault="00315023" w:rsidP="00B63A58">
      <w:pPr>
        <w:pStyle w:val="BodyText"/>
        <w:tabs>
          <w:tab w:val="left" w:pos="9360"/>
        </w:tabs>
        <w:spacing w:before="170" w:line="271" w:lineRule="auto"/>
        <w:ind w:right="46"/>
        <w:jc w:val="both"/>
        <w:rPr>
          <w:rFonts w:asciiTheme="minorHAnsi" w:hAnsiTheme="minorHAnsi" w:cstheme="minorHAnsi"/>
          <w:sz w:val="24"/>
          <w:szCs w:val="24"/>
        </w:rPr>
      </w:pPr>
      <w:r w:rsidRPr="00B63A58">
        <w:rPr>
          <w:rFonts w:asciiTheme="minorHAnsi" w:hAnsiTheme="minorHAnsi" w:cstheme="minorHAnsi"/>
          <w:sz w:val="24"/>
          <w:szCs w:val="24"/>
        </w:rPr>
        <w:t xml:space="preserve">Access to secondary and university-level education remains highly unequal. Substantial gains </w:t>
      </w:r>
      <w:proofErr w:type="gramStart"/>
      <w:r w:rsidRPr="00B63A58">
        <w:rPr>
          <w:rFonts w:asciiTheme="minorHAnsi" w:hAnsiTheme="minorHAnsi" w:cstheme="minorHAnsi"/>
          <w:sz w:val="24"/>
          <w:szCs w:val="24"/>
        </w:rPr>
        <w:t>have been made</w:t>
      </w:r>
      <w:proofErr w:type="gramEnd"/>
      <w:r w:rsidRPr="00B63A58">
        <w:rPr>
          <w:rFonts w:asciiTheme="minorHAnsi" w:hAnsiTheme="minorHAnsi" w:cstheme="minorHAnsi"/>
          <w:sz w:val="24"/>
          <w:szCs w:val="24"/>
        </w:rPr>
        <w:t xml:space="preserve"> in Western and Southern Asia, though girls continue to be at a disadvantage in those regions. Disparities are greatest at the university level. In Southern Asia, only 77 girls per 100 boys </w:t>
      </w:r>
      <w:proofErr w:type="gramStart"/>
      <w:r w:rsidRPr="00B63A58">
        <w:rPr>
          <w:rFonts w:asciiTheme="minorHAnsi" w:hAnsiTheme="minorHAnsi" w:cstheme="minorHAnsi"/>
          <w:sz w:val="24"/>
          <w:szCs w:val="24"/>
        </w:rPr>
        <w:t>are enrolled</w:t>
      </w:r>
      <w:proofErr w:type="gramEnd"/>
      <w:r w:rsidRPr="00B63A58">
        <w:rPr>
          <w:rFonts w:asciiTheme="minorHAnsi" w:hAnsiTheme="minorHAnsi" w:cstheme="minorHAnsi"/>
          <w:sz w:val="24"/>
          <w:szCs w:val="24"/>
        </w:rPr>
        <w:t xml:space="preserve"> in tertiary education. The situation is </w:t>
      </w:r>
      <w:proofErr w:type="gramStart"/>
      <w:r w:rsidRPr="00B63A58">
        <w:rPr>
          <w:rFonts w:asciiTheme="minorHAnsi" w:hAnsiTheme="minorHAnsi" w:cstheme="minorHAnsi"/>
          <w:sz w:val="24"/>
          <w:szCs w:val="24"/>
        </w:rPr>
        <w:t>most extreme</w:t>
      </w:r>
      <w:proofErr w:type="gramEnd"/>
      <w:r w:rsidRPr="00B63A58">
        <w:rPr>
          <w:rFonts w:asciiTheme="minorHAnsi" w:hAnsiTheme="minorHAnsi" w:cstheme="minorHAnsi"/>
          <w:sz w:val="24"/>
          <w:szCs w:val="24"/>
        </w:rPr>
        <w:t xml:space="preserve"> in sub-Saharan Africa, where the gender gap in enrolment has actually widened from 66 girls per 100 boys in 2000 to 61 girls per 100 boys enrolled in 2011.</w:t>
      </w:r>
    </w:p>
    <w:p w:rsidR="00315023" w:rsidRPr="00B63A58" w:rsidRDefault="00315023" w:rsidP="00B63A58">
      <w:pPr>
        <w:pStyle w:val="Heading4"/>
        <w:tabs>
          <w:tab w:val="left" w:pos="9360"/>
        </w:tabs>
        <w:spacing w:before="171"/>
        <w:ind w:left="0" w:right="46"/>
        <w:rPr>
          <w:rFonts w:asciiTheme="minorHAnsi" w:hAnsiTheme="minorHAnsi" w:cstheme="minorHAnsi"/>
          <w:bCs w:val="0"/>
          <w:sz w:val="24"/>
          <w:szCs w:val="24"/>
        </w:rPr>
      </w:pPr>
      <w:r w:rsidRPr="00B63A58">
        <w:rPr>
          <w:rFonts w:asciiTheme="minorHAnsi" w:hAnsiTheme="minorHAnsi" w:cstheme="minorHAnsi"/>
          <w:bCs w:val="0"/>
          <w:sz w:val="24"/>
          <w:szCs w:val="24"/>
        </w:rPr>
        <w:t>Jobs</w:t>
      </w:r>
    </w:p>
    <w:p w:rsidR="00315023" w:rsidRPr="00B63A58" w:rsidRDefault="00315023" w:rsidP="00B63A58">
      <w:pPr>
        <w:pStyle w:val="BodyText"/>
        <w:tabs>
          <w:tab w:val="left" w:pos="9360"/>
        </w:tabs>
        <w:spacing w:before="4"/>
        <w:ind w:right="46"/>
        <w:rPr>
          <w:rFonts w:asciiTheme="minorHAnsi" w:hAnsiTheme="minorHAnsi" w:cstheme="minorHAnsi"/>
          <w:sz w:val="24"/>
          <w:szCs w:val="24"/>
        </w:rPr>
      </w:pPr>
    </w:p>
    <w:p w:rsidR="00315023" w:rsidRPr="00B63A58" w:rsidRDefault="00315023" w:rsidP="00B63A58">
      <w:pPr>
        <w:pStyle w:val="BodyText"/>
        <w:tabs>
          <w:tab w:val="left" w:pos="9360"/>
        </w:tabs>
        <w:spacing w:line="271" w:lineRule="auto"/>
        <w:ind w:right="46"/>
        <w:rPr>
          <w:rFonts w:asciiTheme="minorHAnsi" w:hAnsiTheme="minorHAnsi" w:cstheme="minorHAnsi"/>
          <w:sz w:val="24"/>
          <w:szCs w:val="24"/>
        </w:rPr>
      </w:pPr>
      <w:r w:rsidRPr="00B63A58">
        <w:rPr>
          <w:rFonts w:asciiTheme="minorHAnsi" w:hAnsiTheme="minorHAnsi" w:cstheme="minorHAnsi"/>
          <w:sz w:val="24"/>
          <w:szCs w:val="24"/>
        </w:rPr>
        <w:t>Women’s share of paid employment outside the agricultural sector has increased slowly from 35 to 40% between 1990 and 2010, though it remains under 20% in Western Asia, Northern Africa and Southern Asia.</w:t>
      </w:r>
    </w:p>
    <w:p w:rsidR="00315023" w:rsidRPr="00B63A58" w:rsidRDefault="00315023" w:rsidP="00B63A58">
      <w:pPr>
        <w:pStyle w:val="BodyText"/>
        <w:tabs>
          <w:tab w:val="left" w:pos="9360"/>
        </w:tabs>
        <w:spacing w:before="171" w:line="271" w:lineRule="auto"/>
        <w:ind w:right="46"/>
        <w:jc w:val="both"/>
        <w:rPr>
          <w:rFonts w:asciiTheme="minorHAnsi" w:hAnsiTheme="minorHAnsi" w:cstheme="minorHAnsi"/>
          <w:sz w:val="24"/>
          <w:szCs w:val="24"/>
        </w:rPr>
      </w:pPr>
      <w:r w:rsidRPr="00B63A58">
        <w:rPr>
          <w:rFonts w:asciiTheme="minorHAnsi" w:hAnsiTheme="minorHAnsi" w:cstheme="minorHAnsi"/>
          <w:sz w:val="24"/>
          <w:szCs w:val="24"/>
        </w:rPr>
        <w:t xml:space="preserve">Women still enter the </w:t>
      </w:r>
      <w:r w:rsidR="00851351" w:rsidRPr="00B63A58">
        <w:rPr>
          <w:rFonts w:asciiTheme="minorHAnsi" w:hAnsiTheme="minorHAnsi" w:cstheme="minorHAnsi"/>
          <w:sz w:val="24"/>
          <w:szCs w:val="24"/>
        </w:rPr>
        <w:t>labor</w:t>
      </w:r>
      <w:r w:rsidRPr="00B63A58">
        <w:rPr>
          <w:rFonts w:asciiTheme="minorHAnsi" w:hAnsiTheme="minorHAnsi" w:cstheme="minorHAnsi"/>
          <w:sz w:val="24"/>
          <w:szCs w:val="24"/>
        </w:rPr>
        <w:t xml:space="preserve"> market on an unequal basis to men, even after accounting for educational background and skills. They </w:t>
      </w:r>
      <w:proofErr w:type="gramStart"/>
      <w:r w:rsidRPr="00B63A58">
        <w:rPr>
          <w:rFonts w:asciiTheme="minorHAnsi" w:hAnsiTheme="minorHAnsi" w:cstheme="minorHAnsi"/>
          <w:sz w:val="24"/>
          <w:szCs w:val="24"/>
        </w:rPr>
        <w:t>are often relegated</w:t>
      </w:r>
      <w:proofErr w:type="gramEnd"/>
      <w:r w:rsidRPr="00B63A58">
        <w:rPr>
          <w:rFonts w:asciiTheme="minorHAnsi" w:hAnsiTheme="minorHAnsi" w:cstheme="minorHAnsi"/>
          <w:sz w:val="24"/>
          <w:szCs w:val="24"/>
        </w:rPr>
        <w:t xml:space="preserve"> to vulnerable forms of employment, with little or no fin</w:t>
      </w:r>
      <w:bookmarkStart w:id="0" w:name="_GoBack"/>
      <w:bookmarkEnd w:id="0"/>
      <w:r w:rsidRPr="00B63A58">
        <w:rPr>
          <w:rFonts w:asciiTheme="minorHAnsi" w:hAnsiTheme="minorHAnsi" w:cstheme="minorHAnsi"/>
          <w:sz w:val="24"/>
          <w:szCs w:val="24"/>
        </w:rPr>
        <w:t>ancial security or social benefits, particularly in Western Asia and Northern Africa, where paid opportunities for women are limited.</w:t>
      </w:r>
    </w:p>
    <w:p w:rsidR="00315023" w:rsidRPr="00B63A58" w:rsidRDefault="00315023" w:rsidP="00B63A58">
      <w:pPr>
        <w:pStyle w:val="BodyText"/>
        <w:tabs>
          <w:tab w:val="left" w:pos="9360"/>
        </w:tabs>
        <w:spacing w:before="170"/>
        <w:ind w:right="46"/>
        <w:rPr>
          <w:rFonts w:asciiTheme="minorHAnsi" w:hAnsiTheme="minorHAnsi" w:cstheme="minorHAnsi"/>
          <w:sz w:val="24"/>
          <w:szCs w:val="24"/>
        </w:rPr>
      </w:pPr>
      <w:r w:rsidRPr="00B63A58">
        <w:rPr>
          <w:rFonts w:asciiTheme="minorHAnsi" w:hAnsiTheme="minorHAnsi" w:cstheme="minorHAnsi"/>
          <w:sz w:val="24"/>
          <w:szCs w:val="24"/>
        </w:rPr>
        <w:t>Globally, women occupy only 25% of senior management positions.</w:t>
      </w:r>
    </w:p>
    <w:p w:rsidR="00315023" w:rsidRDefault="00315023" w:rsidP="00315023">
      <w:pPr>
        <w:pStyle w:val="BodyText"/>
      </w:pPr>
    </w:p>
    <w:p w:rsidR="00315023" w:rsidRDefault="00315023" w:rsidP="00315023">
      <w:pPr>
        <w:pStyle w:val="BodyText"/>
      </w:pPr>
    </w:p>
    <w:p w:rsidR="00315023" w:rsidRDefault="00315023" w:rsidP="00315023">
      <w:pPr>
        <w:pStyle w:val="BodyText"/>
      </w:pPr>
    </w:p>
    <w:p w:rsidR="00315023" w:rsidRDefault="00315023" w:rsidP="00315023">
      <w:pPr>
        <w:pStyle w:val="BodyText"/>
      </w:pPr>
    </w:p>
    <w:sectPr w:rsidR="00315023">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DF6" w:rsidRDefault="007D3DF6" w:rsidP="00315023">
      <w:r>
        <w:separator/>
      </w:r>
    </w:p>
  </w:endnote>
  <w:endnote w:type="continuationSeparator" w:id="0">
    <w:p w:rsidR="007D3DF6" w:rsidRDefault="007D3DF6" w:rsidP="00315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DF6" w:rsidRDefault="007D3DF6" w:rsidP="00315023">
      <w:r>
        <w:separator/>
      </w:r>
    </w:p>
  </w:footnote>
  <w:footnote w:type="continuationSeparator" w:id="0">
    <w:p w:rsidR="007D3DF6" w:rsidRDefault="007D3DF6" w:rsidP="00315023">
      <w:r>
        <w:continuationSeparator/>
      </w:r>
    </w:p>
  </w:footnote>
  <w:footnote w:id="1">
    <w:p w:rsidR="00B63A58" w:rsidRPr="00B63A58" w:rsidRDefault="00B63A58" w:rsidP="00B63A58">
      <w:pPr>
        <w:pStyle w:val="BodyText"/>
        <w:spacing w:before="93" w:line="271" w:lineRule="auto"/>
        <w:ind w:left="390" w:right="46"/>
        <w:rPr>
          <w:rFonts w:asciiTheme="minorHAnsi" w:hAnsiTheme="minorHAnsi" w:cstheme="minorHAnsi"/>
          <w:sz w:val="22"/>
          <w:szCs w:val="22"/>
        </w:rPr>
      </w:pPr>
      <w:r>
        <w:rPr>
          <w:rStyle w:val="FootnoteReference"/>
        </w:rPr>
        <w:footnoteRef/>
      </w:r>
      <w:r>
        <w:t xml:space="preserve"> </w:t>
      </w:r>
      <w:r w:rsidRPr="00B63A58">
        <w:rPr>
          <w:rFonts w:asciiTheme="minorHAnsi" w:hAnsiTheme="minorHAnsi" w:cstheme="minorHAnsi"/>
          <w:b/>
          <w:color w:val="3E3D40"/>
          <w:sz w:val="22"/>
          <w:szCs w:val="22"/>
        </w:rPr>
        <w:t>Source</w:t>
      </w:r>
      <w:r w:rsidRPr="00B63A58">
        <w:rPr>
          <w:rFonts w:asciiTheme="minorHAnsi" w:hAnsiTheme="minorHAnsi" w:cstheme="minorHAnsi"/>
          <w:color w:val="3E3D40"/>
          <w:sz w:val="22"/>
          <w:szCs w:val="22"/>
        </w:rPr>
        <w:t xml:space="preserve">: United Nations </w:t>
      </w:r>
      <w:hyperlink r:id="rId1" w:history="1">
        <w:r w:rsidRPr="00B63A58">
          <w:rPr>
            <w:rStyle w:val="Hyperlink"/>
            <w:rFonts w:asciiTheme="minorHAnsi" w:hAnsiTheme="minorHAnsi" w:cstheme="minorHAnsi"/>
            <w:sz w:val="22"/>
            <w:szCs w:val="22"/>
          </w:rPr>
          <w:t>http://www.un.org/millenniumgoals/pdf/Goal_3_fs.pdf</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023"/>
    <w:rsid w:val="00072F1A"/>
    <w:rsid w:val="00085AE5"/>
    <w:rsid w:val="002965E7"/>
    <w:rsid w:val="00315023"/>
    <w:rsid w:val="00693E3E"/>
    <w:rsid w:val="007D3DF6"/>
    <w:rsid w:val="00851351"/>
    <w:rsid w:val="00872B30"/>
    <w:rsid w:val="009F581B"/>
    <w:rsid w:val="00B63A58"/>
    <w:rsid w:val="00DC041C"/>
    <w:rsid w:val="00F60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57675"/>
  <w15:chartTrackingRefBased/>
  <w15:docId w15:val="{945EE39C-FD28-4503-B54E-6ABD85049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15023"/>
    <w:pPr>
      <w:widowControl w:val="0"/>
      <w:autoSpaceDE w:val="0"/>
      <w:autoSpaceDN w:val="0"/>
      <w:spacing w:after="0" w:line="240" w:lineRule="auto"/>
    </w:pPr>
    <w:rPr>
      <w:rFonts w:ascii="Arial" w:eastAsia="Arial" w:hAnsi="Arial" w:cs="Arial"/>
      <w:lang w:bidi="en-US"/>
    </w:rPr>
  </w:style>
  <w:style w:type="paragraph" w:styleId="Heading1">
    <w:name w:val="heading 1"/>
    <w:basedOn w:val="Normal"/>
    <w:link w:val="Heading1Char"/>
    <w:uiPriority w:val="1"/>
    <w:qFormat/>
    <w:rsid w:val="00315023"/>
    <w:pPr>
      <w:spacing w:before="86"/>
      <w:ind w:left="390"/>
      <w:outlineLvl w:val="0"/>
    </w:pPr>
    <w:rPr>
      <w:sz w:val="44"/>
      <w:szCs w:val="44"/>
    </w:rPr>
  </w:style>
  <w:style w:type="paragraph" w:styleId="Heading4">
    <w:name w:val="heading 4"/>
    <w:basedOn w:val="Normal"/>
    <w:link w:val="Heading4Char"/>
    <w:uiPriority w:val="1"/>
    <w:qFormat/>
    <w:rsid w:val="00315023"/>
    <w:pPr>
      <w:spacing w:before="170"/>
      <w:ind w:left="39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15023"/>
    <w:rPr>
      <w:rFonts w:ascii="Arial" w:eastAsia="Arial" w:hAnsi="Arial" w:cs="Arial"/>
      <w:sz w:val="44"/>
      <w:szCs w:val="44"/>
      <w:lang w:bidi="en-US"/>
    </w:rPr>
  </w:style>
  <w:style w:type="character" w:customStyle="1" w:styleId="Heading4Char">
    <w:name w:val="Heading 4 Char"/>
    <w:basedOn w:val="DefaultParagraphFont"/>
    <w:link w:val="Heading4"/>
    <w:uiPriority w:val="1"/>
    <w:rsid w:val="00315023"/>
    <w:rPr>
      <w:rFonts w:ascii="Arial" w:eastAsia="Arial" w:hAnsi="Arial" w:cs="Arial"/>
      <w:b/>
      <w:bCs/>
      <w:sz w:val="20"/>
      <w:szCs w:val="20"/>
      <w:lang w:bidi="en-US"/>
    </w:rPr>
  </w:style>
  <w:style w:type="paragraph" w:styleId="BodyText">
    <w:name w:val="Body Text"/>
    <w:basedOn w:val="Normal"/>
    <w:link w:val="BodyTextChar"/>
    <w:uiPriority w:val="1"/>
    <w:qFormat/>
    <w:rsid w:val="00315023"/>
    <w:rPr>
      <w:sz w:val="20"/>
      <w:szCs w:val="20"/>
    </w:rPr>
  </w:style>
  <w:style w:type="character" w:customStyle="1" w:styleId="BodyTextChar">
    <w:name w:val="Body Text Char"/>
    <w:basedOn w:val="DefaultParagraphFont"/>
    <w:link w:val="BodyText"/>
    <w:uiPriority w:val="1"/>
    <w:rsid w:val="00315023"/>
    <w:rPr>
      <w:rFonts w:ascii="Arial" w:eastAsia="Arial" w:hAnsi="Arial" w:cs="Arial"/>
      <w:sz w:val="20"/>
      <w:szCs w:val="20"/>
      <w:lang w:bidi="en-US"/>
    </w:rPr>
  </w:style>
  <w:style w:type="paragraph" w:styleId="Header">
    <w:name w:val="header"/>
    <w:basedOn w:val="Normal"/>
    <w:link w:val="HeaderChar"/>
    <w:uiPriority w:val="99"/>
    <w:unhideWhenUsed/>
    <w:rsid w:val="00315023"/>
    <w:pPr>
      <w:tabs>
        <w:tab w:val="center" w:pos="4703"/>
        <w:tab w:val="right" w:pos="9406"/>
      </w:tabs>
    </w:pPr>
  </w:style>
  <w:style w:type="character" w:customStyle="1" w:styleId="HeaderChar">
    <w:name w:val="Header Char"/>
    <w:basedOn w:val="DefaultParagraphFont"/>
    <w:link w:val="Header"/>
    <w:uiPriority w:val="99"/>
    <w:rsid w:val="00315023"/>
    <w:rPr>
      <w:rFonts w:ascii="Arial" w:eastAsia="Arial" w:hAnsi="Arial" w:cs="Arial"/>
      <w:lang w:bidi="en-US"/>
    </w:rPr>
  </w:style>
  <w:style w:type="paragraph" w:styleId="Footer">
    <w:name w:val="footer"/>
    <w:basedOn w:val="Normal"/>
    <w:link w:val="FooterChar"/>
    <w:uiPriority w:val="99"/>
    <w:unhideWhenUsed/>
    <w:rsid w:val="00315023"/>
    <w:pPr>
      <w:tabs>
        <w:tab w:val="center" w:pos="4703"/>
        <w:tab w:val="right" w:pos="9406"/>
      </w:tabs>
    </w:pPr>
  </w:style>
  <w:style w:type="character" w:customStyle="1" w:styleId="FooterChar">
    <w:name w:val="Footer Char"/>
    <w:basedOn w:val="DefaultParagraphFont"/>
    <w:link w:val="Footer"/>
    <w:uiPriority w:val="99"/>
    <w:rsid w:val="00315023"/>
    <w:rPr>
      <w:rFonts w:ascii="Arial" w:eastAsia="Arial" w:hAnsi="Arial" w:cs="Arial"/>
      <w:lang w:bidi="en-US"/>
    </w:rPr>
  </w:style>
  <w:style w:type="character" w:styleId="Hyperlink">
    <w:name w:val="Hyperlink"/>
    <w:basedOn w:val="DefaultParagraphFont"/>
    <w:uiPriority w:val="99"/>
    <w:unhideWhenUsed/>
    <w:rsid w:val="00B63A58"/>
    <w:rPr>
      <w:color w:val="0563C1" w:themeColor="hyperlink"/>
      <w:u w:val="single"/>
    </w:rPr>
  </w:style>
  <w:style w:type="paragraph" w:styleId="FootnoteText">
    <w:name w:val="footnote text"/>
    <w:basedOn w:val="Normal"/>
    <w:link w:val="FootnoteTextChar"/>
    <w:uiPriority w:val="99"/>
    <w:semiHidden/>
    <w:unhideWhenUsed/>
    <w:rsid w:val="00B63A58"/>
    <w:rPr>
      <w:sz w:val="20"/>
      <w:szCs w:val="20"/>
    </w:rPr>
  </w:style>
  <w:style w:type="character" w:customStyle="1" w:styleId="FootnoteTextChar">
    <w:name w:val="Footnote Text Char"/>
    <w:basedOn w:val="DefaultParagraphFont"/>
    <w:link w:val="FootnoteText"/>
    <w:uiPriority w:val="99"/>
    <w:semiHidden/>
    <w:rsid w:val="00B63A58"/>
    <w:rPr>
      <w:rFonts w:ascii="Arial" w:eastAsia="Arial" w:hAnsi="Arial" w:cs="Arial"/>
      <w:sz w:val="20"/>
      <w:szCs w:val="20"/>
      <w:lang w:bidi="en-US"/>
    </w:rPr>
  </w:style>
  <w:style w:type="character" w:styleId="FootnoteReference">
    <w:name w:val="footnote reference"/>
    <w:basedOn w:val="DefaultParagraphFont"/>
    <w:uiPriority w:val="99"/>
    <w:semiHidden/>
    <w:unhideWhenUsed/>
    <w:rsid w:val="00B63A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un.org/millenniumgoals/pdf/Goal_3_f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E8D1C-A9C8-4C02-B236-01B1CD493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275</Words>
  <Characters>1570</Characters>
  <Application>Microsoft Office Word</Application>
  <DocSecurity>0</DocSecurity>
  <Lines>13</Lines>
  <Paragraphs>3</Paragraphs>
  <ScaleCrop>false</ScaleCrop>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Stefanova</dc:creator>
  <cp:keywords/>
  <dc:description/>
  <cp:lastModifiedBy>Marina Stefanova</cp:lastModifiedBy>
  <cp:revision>3</cp:revision>
  <dcterms:created xsi:type="dcterms:W3CDTF">2020-01-06T19:19:00Z</dcterms:created>
  <dcterms:modified xsi:type="dcterms:W3CDTF">2020-01-06T19:40:00Z</dcterms:modified>
</cp:coreProperties>
</file>